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13</w:t>
      </w:r>
    </w:p>
    <w:p>
      <w:r>
        <w:t>Bundesgericht (BGE), 2018-01-18, DE</w:t>
      </w:r>
    </w:p>
    <w:p>
      <w:r>
        <w:rPr>
          <w:b/>
        </w:rPr>
        <w:t xml:space="preserve">Quelle: </w:t>
      </w:r>
      <w:r>
        <w:t>https://mcp.opencaselaw.ch/entscheid/bge_144 IV 13</w:t>
      </w:r>
    </w:p>
    <w:p>
      <w:r>
        <w:t>FR: ATF 144 IV 13</w:t>
      </w:r>
    </w:p>
    <w:p>
      <w:r>
        <w:t>IT: DTF 144 IV 13</w:t>
      </w:r>
    </w:p>
    <w:p>
      <w:pPr>
        <w:pStyle w:val="Heading2"/>
      </w:pPr>
      <w:r>
        <w:t>Regeste</w:t>
      </w:r>
    </w:p>
    <w:p>
      <w:r>
        <w:t>Regeste Art. 251 Ziff. 1 und Art. 253 StGB; Falschbeurkundung, Erschleichung einer falschen Beurkundung. Die Falschbeurkundung gemäss Art. 251 Ziff. 1 StGB erfordert eine qualifizierte schriftliche Lüge. Eine solche liegt vor, wenn dem Schriftstück erhöhte Glaubwürdigkeit zukommt. Dies ist bei einseitigen Erklärungen, welche der Aussteller im eigenen Interesse macht, in der Regel nicht der Fall. Art. 253 StGB regelt einen Spezialfall der mittelbaren Falschbeurkundung. Keine erhöhte Glaubwürdigkeit kommt dem durch die Urkundsperson nicht verifizierten Inhalt eidesstattlicher Erklärungen (Affidavits) zu (E. 2.2.2- 2.2.4).</w:t>
      </w:r>
    </w:p>
    <w:p>
      <w:pPr>
        <w:pStyle w:val="Heading2"/>
      </w:pPr>
      <w:r>
        <w:t>Erwägungen</w:t>
      </w:r>
    </w:p>
    <w:p>
      <w:r>
        <w:rPr>
          <w:b/>
        </w:rPr>
        <w:t>E. 2</w:t>
      </w:r>
    </w:p>
    <w:p>
      <w:r>
        <w:t>(...) 2.2.2 Gemäss Art. 251 Ziff. 1 StGB macht sich unter anderem strafbar, wer in der Absicht, jemanden am Vermögen oder an anderen Rechten zu schädigen oder sich oder einem andern einen unrechtmässigen Vorteil zu verschaffen, eine rechtlich erhebliche Tatsache unrichtig beurkundet oder beurkunden lässt. Nach Art. 253 StGB wird bestraft, wer durch Täuschung bewirkt, dass ein Beamter oder eine Person öffentlichen Glaubens eine rechtlich erhebliche Tatsache unrichtig beurkundet, namentlich eine falsche Unterschrift oder eine unrichtige Abschrift beglaubigt. Die Bestimmung regelt einen Spezialfall der mittelbaren Falschbeurkundung. Die Falschbeurkundung betrifft die Errichtung einer echten, aber unwahren Urkunde, bei der der wirkliche und der in der Urkunde BGE 144 IV 13 S. 15 enthaltene Sachverhalt nicht übereinstimmen. Sie erfordert eine qualifizierte schriftliche Lüge. Eine solche nimmt die Rechtsprechung an, wenn dem Schriftstück eine erhöhte Glaubwürdigkeit zukommt und der Adressat ihm daher ein besonderes Vertrauen entgegenbringt. Dies ist der Fall, wenn allgemeingültige objektive Garantien die Wahrheit der Erklärung gegenüber Dritten gewährleisten, die gerade den Inhalt bestimmter Schriftstücke näher festlegen ( BGE 142 IV 119 E. 2.1; BGE 138 IV 130 E. 2.1; BGE 132 IV 12 E. 8.1). 2.2.3 Eine objektive Garantie für die Wahrheit kann sich unter anderem aus einer garantenähnlichen Stellung des Ausstellers ergeben bzw. wenn dieser in einem besonderen Vertrauensverhältnis zum Empfänger steht ( BGE 138 IV 130 E. 2.2.1). Keine erhöhte Glaubwürdigkeit kommt in der Regel einseitigen Erklärungen zu, welche der Aussteller in eigenem Interesse macht, etwa Selbstauskünften gegenüber Kreditinstituten (MARKUS BOOG, in: Basler Kommentar, Strafrecht, Bd. II, 3. Aufl. 2013, N. 104 zu Art. 251 StGB ; siehe auch DANIEL KINZER, in: Commentaire romand, Code pénal, Bd. II, 2017, N. 82 zu Art. 251 StGB ). Der Beschwerdegegner gab im Affidavit vom 3. Juli 2013 an, der Anlageberater von C. zu sein. Seine Erklärungen erfolgten ausschliesslich im Interesse seiner Klientin. Der Beschwerdegegner kann daher nicht als neutrale Person bezeichnet werden. Das Affidavit enthält, wie bereits die Vorinstanz zutreffend erwägt, blosse Parteibehauptungen, welchen keine erhöhte Glaubwürdigkeit zukommt. Die Ausbildung der Beschwerdegegners und der von ihm ausgeübte Beruf ändern daran nichts. Entsprechend der Darstellung der Beschwerdeführerin bewirkte die Abgabe eines Eides, dass der Zivilprozess in den USA in der Form eines "verified complaint" gegen sie habe eingeleitet werden können. Somit sei es möglich gewesen, die Phase des "pre-trial" zu überspringen. Die Beschwerdeführerin macht geltend, dass ihr daraus ein erheblicher Schaden entstanden sei und der Erklärung des Beschwerdegegners auch unter diesem Blickwinkel eine erhöhte Glaubwürdigkeit zukomme. Dem ist nicht zu folgen. Allfällige zivilprozessuale Erleichterungen implizieren nicht, dass die im Affidavit enthaltenen Darstellungen ohne Weiteres als wahr angesehen werden. Bereits die Vorinstanz erwägt zutreffend, dass in dem Zivilprozess in den USA ein Beweisverfahren stattgefunden habe, um gerade den im Affidavit beschriebenen Sachverhalt zu überprüfen. Die Beschwerdeführerin stellt BGE 144 IV 13 S. 16 dies nicht in Abrede. Auch eine allfällige Strafbarkeit wegen Meineids im Ausland verleiht der Erklärung keine erhöhte Glaubwürdigkeit. 2.2.4 Erhöhte Glaubwürdigkeit kommt namentlich öffentlichen Urkunden zu ( BGE 110 II 1 E. 3a; BOOG, a.a.O., N. 85 zu Art. 251 StGB ). Gemäss Art. 9 Abs. 1 ZGB erbringen diese für die durch sie bezeugten Tatsachen vollen Beweis, solange nicht die Unrichtigkeit ihres Inhaltes nachgewiesen wird. Die verstärkte Beweiskraft von Art. 9 Abs. 1 ZGB beschränkt sich auf diejenigen Tatsachen, die in der öffentlichen Urkunde als richtig bescheinigt werden, mithin auf das, was der Notar kraft eigener Wahrnehmung festgestellt hat oder auf seine Richtigkeit hin zu überprüfen verpflichtet ist, unabhängig davon, ob er im Einzelfall die Prüfung vorgenommen hat oder nicht (STEPHAN WOLF, in: Berner Kommentar, 2012, N. 48 zu Art. 9 ZGB ). Was die Urkundsperson persönlich festzustellen hat, bestimmt im Wesentlichen das kantonale Recht (MICHEL MOOSER, in: Commentaire romand, Code civil, Bd. I, 2010, N. 23 zu Art. 9 ZGB ). Nicht von Art. 9 Abs. 1 ZGB erfasst ist der nicht verifizierte Inhalt eidesstattlicher Erklärungen oder von öffentlich beurkundeten Inventaren, wenn diese bloss nicht überprüfte oder nicht überprüfbare Angaben der Beteiligten wiedergeben (MOOSER, a.a.O., N. 25 zu Art. 9 ZGB ; WOLF, a.a.O., N. 50 zu Art. 9 ZGB ; anders noch Urteil 6S.258/2006 vom 3. November 2006 E. 4). Art. 253 StGB bezieht sich auf die in der Schweiz erstellten öffentlichen Urkunden. Massgebend ist somit einzig, ob diesen gemäss schweizerischem Recht erhöhte Beweiskraft zukommt. Gemäss § 46 des Notariatsgesetzes des Kantons Basel-Stadt vom 18. Januar 2006 (SG 292.100) sollen Wissenserklärungen (eidesstattliche Erklärungen, Affidavits) nur beurkundet werden, wenn sie von der erklärenden Person mit Wahrheitsbekräftigung (Eid, Handgelübde) zuhanden ausländischer Empfängerinnen oder ausländischer Empfänger abgegeben werden (Abs. 1). Die erklärende Person hat vor der Notarin oder dem Notar persönlich zu erscheinen. Ihre Personalien sind zu überprüfen und in der Urkunde anzugeben. Sie ist zur Wahrheit anzuhalten. Sie hat die Wahrheitsbekräftigung in der Weise zu leisten, wie sie in der Urkunde bezeugt wird (Abs. 2). Die Notarin oder der Notar bezeugt die erfolgte Erklärungsabgabe, nicht deren Inhalt (Abs. 3). Die Erklärung ist durch die erklärende Person und die Notarin oder den Notar zu unterzeichnen (Abs. 4). Bereits aus dem kantonalen Recht ergibt sich, dass der Inhalt der Erklärung nicht Gegenstand der öffentlichen Beurkundung ist, sondern ausschliesslich BGE 144 IV 13 S. 17 der Umstand, dass ein Eid oder eine eidesstattliche Erklärung abgegeben worden ist. Der Notar überprüfte die Angaben des Beschwerdegegners auch nicht. Den Erklärungen des Beschwerdegegners kommt keine erhöhte Beweiskraft im Sinne von Art. 9 Abs. 1 ZGB zu. Der Tatbestand der Falschbeurkundung im Sinne von Art. 251 Ziff. 1 StGB und Art. 253 StGB ist nicht erfüllt. Die Apostille auf einer öffentlichen Urkunde bestätigt einzig die Echtheit der Unterschrift, die Eigenschaft, in welcher der Unterzeichner der Urkunde gehandelt hat, und gegebenenfalls die Echtheit des Siegels oder Stempels, mit dem die Urkunde versehen ist (Art. 5 Abs. 2 des Übereinkommens vom 5. Oktober 1961 zur Befreiung ausländischer öffentlicher Urkunden von der Beglaubigung [SR 0.172.030.4]). In Bezug auf den Inhalt der Urkunde und deren Beweiskraft hat die Apostille keine Bedeutung.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